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19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 w:right="540"/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DORCHESTER MINERALS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OPERATING LP</w:t>
        </w:r>
      </w:hyperlink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3838 OAK LAWN AVE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DORCHESTER MINERALS, L.P.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DMLP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3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12/19/2025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Entity Under Common Control</w:t>
      </w:r>
    </w:p>
    <w:p>
      <w:pPr>
        <w:spacing w:after="0" w:line="60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3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75219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35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12/19/2025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22.226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25,017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22.2994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35,017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Adoption date of referenced 10b5-1 plan is: 11-12-2025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Leslie A. Moriyama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12/23/2025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-2365375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46289" TargetMode="External"/><Relationship Id="rId14" Type="http://schemas.openxmlformats.org/officeDocument/2006/relationships/hyperlink" Target="http://www.sec.gov/cgi-bin/browse-edgar?action=getcompany&amp;CIK=0001172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2025-12-23T10:20:43Z</dcterms:created>
  <dcterms:modified xsi:type="dcterms:W3CDTF">2025-12-23T10:20:43Z</dcterms:modified>
</cp:coreProperties>
</file>